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fill="FFFFFF" w:themeFill="background1"/>
        <w:jc w:val="center"/>
        <w:rPr>
          <w:rFonts w:hint="eastAsia" w:ascii="宋体" w:hAnsi="宋体" w:eastAsia="宋体" w:cs="宋体"/>
          <w:sz w:val="44"/>
          <w:szCs w:val="44"/>
        </w:rPr>
      </w:pPr>
      <w:r>
        <w:rPr>
          <w:rFonts w:hint="eastAsia" w:ascii="宋体" w:hAnsi="宋体" w:eastAsia="宋体" w:cs="宋体"/>
          <w:b/>
          <w:bCs/>
          <w:sz w:val="44"/>
          <w:szCs w:val="44"/>
        </w:rPr>
        <w:t>关于召开济南</w:t>
      </w:r>
      <w:r>
        <w:rPr>
          <w:rFonts w:hint="eastAsia" w:ascii="宋体" w:hAnsi="宋体" w:eastAsia="宋体" w:cs="宋体"/>
          <w:b/>
          <w:bCs/>
          <w:sz w:val="44"/>
          <w:szCs w:val="44"/>
          <w:lang w:val="en-US" w:eastAsia="zh-CN"/>
        </w:rPr>
        <w:t>长清</w:t>
      </w:r>
      <w:r>
        <w:rPr>
          <w:rFonts w:hint="eastAsia" w:ascii="宋体" w:hAnsi="宋体" w:eastAsia="宋体" w:cs="宋体"/>
          <w:b/>
          <w:bCs/>
          <w:sz w:val="44"/>
          <w:szCs w:val="44"/>
        </w:rPr>
        <w:t>沪农商村镇银行股份有限公司2026年第二次临时股东会的通知</w:t>
      </w:r>
    </w:p>
    <w:p>
      <w:pPr>
        <w:shd w:val="clear" w:fill="FFFFFF" w:themeFill="background1"/>
        <w:rPr>
          <w:rFonts w:hint="eastAsia" w:ascii="仿宋_GB2312" w:hAnsi="仿宋_GB2312" w:eastAsia="仿宋_GB2312" w:cs="仿宋_GB2312"/>
          <w:sz w:val="23"/>
          <w:szCs w:val="23"/>
        </w:rPr>
      </w:pPr>
    </w:p>
    <w:p>
      <w:pPr>
        <w:shd w:val="clear" w:fill="FFFFFF" w:themeFill="background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至全体股东：</w:t>
      </w:r>
    </w:p>
    <w:p>
      <w:pPr>
        <w:shd w:val="clear" w:fill="FFFFFF" w:themeFill="background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根据相关法律法规规定，济南</w:t>
      </w:r>
      <w:r>
        <w:rPr>
          <w:rFonts w:hint="eastAsia" w:ascii="仿宋_GB2312" w:hAnsi="仿宋_GB2312" w:eastAsia="仿宋_GB2312" w:cs="仿宋_GB2312"/>
          <w:sz w:val="32"/>
          <w:szCs w:val="32"/>
          <w:lang w:val="en-US" w:eastAsia="zh-CN"/>
        </w:rPr>
        <w:t>长清</w:t>
      </w:r>
      <w:r>
        <w:rPr>
          <w:rFonts w:hint="eastAsia" w:ascii="仿宋_GB2312" w:hAnsi="仿宋_GB2312" w:eastAsia="仿宋_GB2312" w:cs="仿宋_GB2312"/>
          <w:sz w:val="32"/>
          <w:szCs w:val="32"/>
        </w:rPr>
        <w:t>沪农商村镇银行股份有限公司拟定于2026年7月2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日（周</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）上午9:00召开济南</w:t>
      </w:r>
      <w:r>
        <w:rPr>
          <w:rFonts w:hint="eastAsia" w:ascii="仿宋_GB2312" w:hAnsi="仿宋_GB2312" w:eastAsia="仿宋_GB2312" w:cs="仿宋_GB2312"/>
          <w:sz w:val="32"/>
          <w:szCs w:val="32"/>
          <w:lang w:val="en-US" w:eastAsia="zh-CN"/>
        </w:rPr>
        <w:t>长清</w:t>
      </w:r>
      <w:r>
        <w:rPr>
          <w:rFonts w:hint="eastAsia" w:ascii="仿宋_GB2312" w:hAnsi="仿宋_GB2312" w:eastAsia="仿宋_GB2312" w:cs="仿宋_GB2312"/>
          <w:sz w:val="32"/>
          <w:szCs w:val="32"/>
        </w:rPr>
        <w:t>沪农商村镇银行股份有限公司2026年第二次临时股东会，会议以</w:t>
      </w:r>
      <w:r>
        <w:rPr>
          <w:rFonts w:hint="eastAsia" w:ascii="仿宋_GB2312" w:hAnsi="仿宋_GB2312" w:eastAsia="仿宋_GB2312" w:cs="仿宋_GB2312"/>
          <w:b/>
          <w:bCs/>
          <w:sz w:val="32"/>
          <w:szCs w:val="32"/>
          <w:lang w:eastAsia="zh-CN"/>
        </w:rPr>
        <w:t>现场</w:t>
      </w:r>
      <w:r>
        <w:rPr>
          <w:rFonts w:hint="eastAsia" w:ascii="仿宋_GB2312" w:hAnsi="仿宋_GB2312" w:eastAsia="仿宋_GB2312" w:cs="仿宋_GB2312"/>
          <w:sz w:val="32"/>
          <w:szCs w:val="32"/>
        </w:rPr>
        <w:t>方式召开。请于7月2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日上午8:30</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本行2楼会议室进行会议签到。会议通知如下：</w:t>
      </w:r>
    </w:p>
    <w:p>
      <w:pPr>
        <w:shd w:val="clear" w:fill="FFFFFF" w:themeFill="background1"/>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一、会议时间：2026年</w:t>
      </w: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lang w:val="en-US" w:eastAsia="zh-CN"/>
        </w:rPr>
        <w:t>22</w:t>
      </w:r>
      <w:r>
        <w:rPr>
          <w:rFonts w:hint="eastAsia" w:ascii="仿宋_GB2312" w:hAnsi="仿宋_GB2312" w:eastAsia="仿宋_GB2312" w:cs="仿宋_GB2312"/>
          <w:b/>
          <w:bCs/>
          <w:sz w:val="32"/>
          <w:szCs w:val="32"/>
        </w:rPr>
        <w:t>日</w:t>
      </w:r>
      <w:r>
        <w:rPr>
          <w:rFonts w:hint="eastAsia" w:ascii="仿宋_GB2312" w:hAnsi="仿宋_GB2312" w:eastAsia="仿宋_GB2312" w:cs="仿宋_GB2312"/>
          <w:b/>
          <w:bCs/>
          <w:sz w:val="32"/>
          <w:szCs w:val="32"/>
          <w:lang w:val="en-US" w:eastAsia="zh-CN"/>
        </w:rPr>
        <w:t>上午9</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0</w:t>
      </w:r>
    </w:p>
    <w:p>
      <w:pPr>
        <w:shd w:val="clear" w:fill="FFFFFF" w:themeFill="background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二、会议地点：济南市</w:t>
      </w:r>
      <w:r>
        <w:rPr>
          <w:rFonts w:hint="eastAsia" w:ascii="仿宋_GB2312" w:hAnsi="仿宋_GB2312" w:eastAsia="仿宋_GB2312" w:cs="仿宋_GB2312"/>
          <w:b/>
          <w:bCs/>
          <w:sz w:val="32"/>
          <w:szCs w:val="32"/>
          <w:lang w:val="en-US" w:eastAsia="zh-CN"/>
        </w:rPr>
        <w:t>长清</w:t>
      </w:r>
      <w:r>
        <w:rPr>
          <w:rFonts w:hint="eastAsia" w:ascii="仿宋_GB2312" w:hAnsi="仿宋_GB2312" w:eastAsia="仿宋_GB2312" w:cs="仿宋_GB2312"/>
          <w:b/>
          <w:bCs/>
          <w:sz w:val="32"/>
          <w:szCs w:val="32"/>
        </w:rPr>
        <w:t>区</w:t>
      </w:r>
      <w:r>
        <w:rPr>
          <w:rFonts w:hint="eastAsia" w:ascii="仿宋_GB2312" w:hAnsi="仿宋_GB2312" w:eastAsia="仿宋_GB2312" w:cs="仿宋_GB2312"/>
          <w:b/>
          <w:bCs/>
          <w:sz w:val="32"/>
          <w:szCs w:val="32"/>
          <w:lang w:val="en-US" w:eastAsia="zh-CN"/>
        </w:rPr>
        <w:t>灵岩路2098</w:t>
      </w:r>
      <w:r>
        <w:rPr>
          <w:rFonts w:hint="eastAsia" w:ascii="仿宋_GB2312" w:hAnsi="仿宋_GB2312" w:eastAsia="仿宋_GB2312" w:cs="仿宋_GB2312"/>
          <w:b/>
          <w:bCs/>
          <w:sz w:val="32"/>
          <w:szCs w:val="32"/>
        </w:rPr>
        <w:t>号济南</w:t>
      </w:r>
      <w:r>
        <w:rPr>
          <w:rFonts w:hint="eastAsia" w:ascii="仿宋_GB2312" w:hAnsi="仿宋_GB2312" w:eastAsia="仿宋_GB2312" w:cs="仿宋_GB2312"/>
          <w:b/>
          <w:bCs/>
          <w:sz w:val="32"/>
          <w:szCs w:val="32"/>
          <w:lang w:val="en-US" w:eastAsia="zh-CN"/>
        </w:rPr>
        <w:t>长清</w:t>
      </w:r>
      <w:r>
        <w:rPr>
          <w:rFonts w:hint="eastAsia" w:ascii="仿宋_GB2312" w:hAnsi="仿宋_GB2312" w:eastAsia="仿宋_GB2312" w:cs="仿宋_GB2312"/>
          <w:b/>
          <w:bCs/>
          <w:sz w:val="32"/>
          <w:szCs w:val="32"/>
        </w:rPr>
        <w:t>沪农商村镇银行二楼会议室</w:t>
      </w:r>
    </w:p>
    <w:p>
      <w:pPr>
        <w:shd w:val="clear" w:fill="FFFFFF" w:themeFill="background1"/>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会议议题</w:t>
      </w:r>
    </w:p>
    <w:p>
      <w:pPr>
        <w:keepNext w:val="0"/>
        <w:keepLines w:val="0"/>
        <w:pageBreakBefore w:val="0"/>
        <w:widowControl/>
        <w:shd w:val="clear" w:color="auto" w:fill="FFFFFF" w:themeFill="background1"/>
        <w:kinsoku/>
        <w:wordWrap/>
        <w:overflowPunct/>
        <w:topLinePunct w:val="0"/>
        <w:autoSpaceDE/>
        <w:autoSpaceDN/>
        <w:bidi w:val="0"/>
        <w:adjustRightInd/>
        <w:snapToGrid/>
        <w:spacing w:line="600" w:lineRule="exact"/>
        <w:ind w:left="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审议《</w:t>
      </w:r>
      <w:r>
        <w:rPr>
          <w:rFonts w:hint="eastAsia" w:ascii="仿宋_GB2312" w:hAnsi="Times New Roman" w:eastAsia="仿宋_GB2312" w:cs="Times New Roman"/>
          <w:sz w:val="32"/>
          <w:szCs w:val="32"/>
          <w:lang w:val="en-US" w:eastAsia="zh-CN"/>
        </w:rPr>
        <w:t>关于济南长清沪农商村镇银行股份有限公司专项审计报告、评估报告、清产核资报告的议案</w:t>
      </w:r>
      <w:r>
        <w:rPr>
          <w:rFonts w:hint="eastAsia" w:ascii="仿宋_GB2312" w:hAnsi="仿宋_GB2312" w:eastAsia="仿宋_GB2312" w:cs="仿宋_GB2312"/>
          <w:sz w:val="32"/>
          <w:szCs w:val="32"/>
          <w:highlight w:val="none"/>
          <w:lang w:eastAsia="zh-CN"/>
        </w:rPr>
        <w:t>》；</w:t>
      </w:r>
    </w:p>
    <w:p>
      <w:pPr>
        <w:pStyle w:val="2"/>
        <w:keepNext w:val="0"/>
        <w:keepLines w:val="0"/>
        <w:pageBreakBefore w:val="0"/>
        <w:shd w:val="clear" w:color="auto" w:fill="FFFFFF" w:themeFill="background1"/>
        <w:kinsoku/>
        <w:wordWrap/>
        <w:overflowPunct/>
        <w:topLinePunct w:val="0"/>
        <w:autoSpaceDE/>
        <w:autoSpaceDN/>
        <w:bidi w:val="0"/>
        <w:adjustRightInd/>
        <w:snapToGrid/>
        <w:spacing w:line="600" w:lineRule="exact"/>
        <w:ind w:left="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rPr>
        <w:t>审议《</w:t>
      </w:r>
      <w:r>
        <w:rPr>
          <w:rFonts w:hint="eastAsia" w:ascii="仿宋_GB2312" w:hAnsi="Times New Roman" w:eastAsia="仿宋_GB2312" w:cs="Times New Roman"/>
          <w:b w:val="0"/>
          <w:bCs w:val="0"/>
          <w:sz w:val="32"/>
          <w:szCs w:val="32"/>
          <w:lang w:val="en-US" w:eastAsia="zh-CN"/>
        </w:rPr>
        <w:t>关于济南槐荫沪农商村镇银行股份有限公司吸收合并济南长清沪农商村镇银行股份有限公司并新设分支机构实施方案（预案）的议案</w:t>
      </w:r>
      <w:r>
        <w:rPr>
          <w:rFonts w:hint="eastAsia" w:ascii="仿宋_GB2312" w:hAnsi="仿宋_GB2312" w:eastAsia="仿宋_GB2312" w:cs="仿宋_GB2312"/>
          <w:b w:val="0"/>
          <w:bCs w:val="0"/>
          <w:sz w:val="32"/>
          <w:szCs w:val="32"/>
          <w:highlight w:val="none"/>
          <w:lang w:eastAsia="zh-CN"/>
        </w:rPr>
        <w:t>》；</w:t>
      </w:r>
    </w:p>
    <w:p>
      <w:pPr>
        <w:keepNext w:val="0"/>
        <w:keepLines w:val="0"/>
        <w:pageBreakBefore w:val="0"/>
        <w:shd w:val="clear" w:color="auto" w:fill="FFFFFF" w:themeFill="background1"/>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cs="仿宋_GB2312"/>
          <w:sz w:val="32"/>
          <w:szCs w:val="32"/>
          <w:highlight w:val="none"/>
          <w:lang w:eastAsia="zh-CN"/>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审议《</w:t>
      </w:r>
      <w:r>
        <w:rPr>
          <w:rFonts w:hint="eastAsia" w:ascii="仿宋_GB2312" w:hAnsi="Times New Roman" w:eastAsia="仿宋_GB2312" w:cs="Times New Roman"/>
          <w:b w:val="0"/>
          <w:bCs w:val="0"/>
          <w:sz w:val="32"/>
          <w:szCs w:val="32"/>
          <w:lang w:val="en-US" w:eastAsia="zh-CN"/>
        </w:rPr>
        <w:t>关于济南槐荫沪农商村镇银行股份有限公司与济南长清沪农商村镇银行股份有限公司签署吸收合并协议（预案）的议案</w:t>
      </w:r>
      <w:r>
        <w:rPr>
          <w:rFonts w:hint="eastAsia" w:ascii="仿宋_GB2312" w:hAnsi="仿宋_GB2312" w:eastAsia="仿宋_GB2312" w:cs="仿宋_GB2312"/>
          <w:sz w:val="32"/>
          <w:szCs w:val="32"/>
          <w:highlight w:val="none"/>
          <w:lang w:eastAsia="zh-CN"/>
        </w:rPr>
        <w:t>》</w:t>
      </w:r>
      <w:r>
        <w:rPr>
          <w:rFonts w:hint="eastAsia" w:ascii="仿宋_GB2312" w:hAnsi="仿宋_GB2312" w:cs="仿宋_GB2312"/>
          <w:sz w:val="32"/>
          <w:szCs w:val="32"/>
          <w:highlight w:val="none"/>
          <w:lang w:eastAsia="zh-CN"/>
        </w:rPr>
        <w:t>；</w:t>
      </w:r>
    </w:p>
    <w:p>
      <w:pPr>
        <w:pStyle w:val="2"/>
        <w:keepNext w:val="0"/>
        <w:keepLines w:val="0"/>
        <w:pageBreakBefore w:val="0"/>
        <w:shd w:val="clear" w:color="auto" w:fill="FFFFFF" w:themeFill="background1"/>
        <w:kinsoku/>
        <w:wordWrap/>
        <w:overflowPunct/>
        <w:topLinePunct w:val="0"/>
        <w:autoSpaceDE/>
        <w:autoSpaceDN/>
        <w:bidi w:val="0"/>
        <w:adjustRightInd/>
        <w:snapToGrid/>
        <w:spacing w:line="600" w:lineRule="exact"/>
        <w:ind w:left="0"/>
        <w:jc w:val="both"/>
        <w:textAlignment w:val="auto"/>
        <w:rPr>
          <w:rFonts w:hint="eastAsia" w:ascii="仿宋_GB2312" w:hAnsi="仿宋_GB2312" w:cs="仿宋_GB2312"/>
          <w:b w:val="0"/>
          <w:bCs w:val="0"/>
          <w:sz w:val="32"/>
          <w:szCs w:val="32"/>
          <w:lang w:eastAsia="zh-CN"/>
        </w:rPr>
      </w:pPr>
      <w:r>
        <w:rPr>
          <w:rFonts w:hint="eastAsia" w:ascii="仿宋_GB2312" w:hAnsi="仿宋_GB2312" w:cs="仿宋_GB2312"/>
          <w:b w:val="0"/>
          <w:bCs w:val="0"/>
          <w:sz w:val="32"/>
          <w:szCs w:val="32"/>
          <w:lang w:val="en-US" w:eastAsia="zh-CN"/>
        </w:rPr>
        <w:t>4</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审议</w:t>
      </w:r>
      <w:r>
        <w:rPr>
          <w:rFonts w:hint="eastAsia" w:ascii="仿宋_GB2312" w:hAnsi="仿宋_GB2312" w:cs="仿宋_GB2312"/>
          <w:b w:val="0"/>
          <w:bCs w:val="0"/>
          <w:sz w:val="32"/>
          <w:szCs w:val="32"/>
          <w:lang w:eastAsia="zh-CN"/>
        </w:rPr>
        <w:t>《关于提请股东会授权顾正云先生具体决定和实施吸收合并相关事项的议案》；</w:t>
      </w:r>
    </w:p>
    <w:p>
      <w:pPr>
        <w:pStyle w:val="2"/>
        <w:keepNext w:val="0"/>
        <w:keepLines w:val="0"/>
        <w:pageBreakBefore w:val="0"/>
        <w:shd w:val="clear" w:color="auto" w:fill="FFFFFF" w:themeFill="background1"/>
        <w:kinsoku/>
        <w:wordWrap/>
        <w:overflowPunct/>
        <w:topLinePunct w:val="0"/>
        <w:autoSpaceDE/>
        <w:autoSpaceDN/>
        <w:bidi w:val="0"/>
        <w:adjustRightInd/>
        <w:snapToGrid/>
        <w:spacing w:line="600" w:lineRule="exact"/>
        <w:ind w:left="0"/>
        <w:jc w:val="both"/>
        <w:textAlignment w:val="auto"/>
        <w:rPr>
          <w:rFonts w:hint="eastAsia" w:ascii="仿宋_GB2312" w:hAnsi="仿宋_GB2312" w:cs="仿宋_GB2312"/>
          <w:b w:val="0"/>
          <w:bCs w:val="0"/>
          <w:sz w:val="32"/>
          <w:szCs w:val="32"/>
          <w:lang w:eastAsia="zh-CN"/>
        </w:rPr>
      </w:pPr>
      <w:r>
        <w:rPr>
          <w:rFonts w:hint="eastAsia" w:ascii="仿宋_GB2312" w:hAnsi="仿宋_GB2312" w:cs="仿宋_GB2312"/>
          <w:b w:val="0"/>
          <w:bCs w:val="0"/>
          <w:sz w:val="32"/>
          <w:szCs w:val="32"/>
          <w:lang w:val="en-US" w:eastAsia="zh-CN"/>
        </w:rPr>
        <w:t>5、审议《关于济南长清沪农商村镇银行股份有限公司因吸收合并而解散的议案</w:t>
      </w:r>
      <w:r>
        <w:rPr>
          <w:rFonts w:hint="eastAsia" w:ascii="仿宋_GB2312" w:hAnsi="仿宋_GB2312" w:cs="仿宋_GB2312"/>
          <w:b w:val="0"/>
          <w:bCs w:val="0"/>
          <w:sz w:val="32"/>
          <w:szCs w:val="32"/>
          <w:lang w:eastAsia="zh-CN"/>
        </w:rPr>
        <w:t>》；</w:t>
      </w:r>
    </w:p>
    <w:p>
      <w:pPr>
        <w:pStyle w:val="2"/>
        <w:keepNext w:val="0"/>
        <w:keepLines w:val="0"/>
        <w:pageBreakBefore w:val="0"/>
        <w:shd w:val="clear" w:color="auto" w:fill="FFFFFF" w:themeFill="background1"/>
        <w:kinsoku/>
        <w:wordWrap/>
        <w:overflowPunct/>
        <w:topLinePunct w:val="0"/>
        <w:autoSpaceDE/>
        <w:autoSpaceDN/>
        <w:bidi w:val="0"/>
        <w:adjustRightInd/>
        <w:snapToGrid/>
        <w:spacing w:line="600" w:lineRule="exact"/>
        <w:ind w:left="0"/>
        <w:jc w:val="both"/>
        <w:textAlignment w:val="auto"/>
        <w:rPr>
          <w:rFonts w:hint="eastAsia" w:ascii="仿宋_GB2312" w:hAnsi="仿宋_GB2312" w:cs="仿宋_GB2312"/>
          <w:b w:val="0"/>
          <w:bCs w:val="0"/>
          <w:sz w:val="32"/>
          <w:szCs w:val="32"/>
          <w:lang w:eastAsia="zh-CN"/>
        </w:rPr>
      </w:pPr>
      <w:r>
        <w:rPr>
          <w:rFonts w:hint="eastAsia" w:ascii="仿宋_GB2312" w:hAnsi="仿宋_GB2312" w:cs="仿宋_GB2312"/>
          <w:b w:val="0"/>
          <w:bCs w:val="0"/>
          <w:sz w:val="32"/>
          <w:szCs w:val="32"/>
          <w:lang w:val="en-US" w:eastAsia="zh-CN"/>
        </w:rPr>
        <w:t>6、审议《关于济南长清沪农商村镇银行吸收合并涉及失联股东股份处理的议案</w:t>
      </w:r>
      <w:r>
        <w:rPr>
          <w:rFonts w:hint="eastAsia" w:ascii="仿宋_GB2312" w:hAnsi="仿宋_GB2312" w:cs="仿宋_GB2312"/>
          <w:b w:val="0"/>
          <w:bCs w:val="0"/>
          <w:sz w:val="32"/>
          <w:szCs w:val="32"/>
          <w:lang w:eastAsia="zh-CN"/>
        </w:rPr>
        <w:t>》。</w:t>
      </w:r>
    </w:p>
    <w:p>
      <w:pPr>
        <w:shd w:val="clear" w:fill="FFFFFF" w:themeFill="background1"/>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、会议出席对象</w:t>
      </w:r>
    </w:p>
    <w:p>
      <w:pPr>
        <w:shd w:val="clear" w:fill="FFFFFF" w:themeFill="background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本公司董事、高级管理人员，截至2026年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日登记在册的本公司全体股东。</w:t>
      </w:r>
    </w:p>
    <w:p>
      <w:pPr>
        <w:shd w:val="clear" w:fill="FFFFFF" w:themeFill="background1"/>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、会议出席办法</w:t>
      </w:r>
    </w:p>
    <w:p>
      <w:pPr>
        <w:shd w:val="clear" w:fill="FFFFFF" w:themeFill="background1"/>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1、法人股东出席，若法定代表人无法出席，可委托其他代表</w:t>
      </w:r>
      <w:r>
        <w:rPr>
          <w:rFonts w:hint="eastAsia" w:ascii="仿宋_GB2312" w:hAnsi="仿宋_GB2312" w:eastAsia="仿宋_GB2312" w:cs="仿宋_GB2312"/>
          <w:b/>
          <w:bCs/>
          <w:sz w:val="32"/>
          <w:szCs w:val="32"/>
          <w:lang w:val="en-US" w:eastAsia="zh-CN"/>
        </w:rPr>
        <w:t>持</w:t>
      </w:r>
      <w:r>
        <w:rPr>
          <w:rFonts w:hint="eastAsia" w:ascii="仿宋_GB2312" w:hAnsi="仿宋_GB2312" w:eastAsia="仿宋_GB2312" w:cs="仿宋_GB2312"/>
          <w:b/>
          <w:bCs/>
          <w:sz w:val="32"/>
          <w:szCs w:val="32"/>
        </w:rPr>
        <w:t>加盖公章</w:t>
      </w:r>
      <w:r>
        <w:rPr>
          <w:rFonts w:hint="eastAsia" w:ascii="仿宋_GB2312" w:hAnsi="仿宋_GB2312" w:eastAsia="仿宋_GB2312" w:cs="仿宋_GB2312"/>
          <w:b/>
          <w:bCs/>
          <w:sz w:val="32"/>
          <w:szCs w:val="32"/>
          <w:lang w:val="en-US" w:eastAsia="zh-CN"/>
        </w:rPr>
        <w:t>及</w:t>
      </w:r>
      <w:r>
        <w:rPr>
          <w:rFonts w:hint="eastAsia" w:ascii="仿宋_GB2312" w:hAnsi="仿宋_GB2312" w:eastAsia="仿宋_GB2312" w:cs="仿宋_GB2312"/>
          <w:b/>
          <w:bCs/>
          <w:sz w:val="32"/>
          <w:szCs w:val="32"/>
        </w:rPr>
        <w:t>法人章后的营业执照、出席人身份证复印件及法定代表人身份证复印件、授权委托书、会议回执至会场办理登记手续后出席。</w:t>
      </w:r>
    </w:p>
    <w:p>
      <w:pPr>
        <w:shd w:val="clear" w:fill="FFFFFF" w:themeFill="background1"/>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2、个人股东出席，若股东本人无法出席，可委托其他人持股东身份证复印件、出席人身份证、授权委托书、会议回执至会场办理登记手续后出席。</w:t>
      </w:r>
    </w:p>
    <w:p>
      <w:pPr>
        <w:shd w:val="clear" w:fill="FFFFFF" w:themeFill="background1"/>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、其他</w:t>
      </w:r>
    </w:p>
    <w:p>
      <w:pPr>
        <w:shd w:val="clear" w:fill="FFFFFF" w:themeFill="background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会议联系人：</w:t>
      </w:r>
      <w:r>
        <w:rPr>
          <w:rFonts w:hint="eastAsia" w:ascii="仿宋_GB2312" w:hAnsi="仿宋_GB2312" w:eastAsia="仿宋_GB2312" w:cs="仿宋_GB2312"/>
          <w:sz w:val="32"/>
          <w:szCs w:val="32"/>
          <w:lang w:val="en-US" w:eastAsia="zh-CN"/>
        </w:rPr>
        <w:t>孙亚男</w:t>
      </w:r>
    </w:p>
    <w:p>
      <w:pPr>
        <w:shd w:val="clear" w:fill="FFFFFF" w:themeFill="background1"/>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电话：0531-</w:t>
      </w:r>
      <w:r>
        <w:rPr>
          <w:rFonts w:hint="eastAsia" w:ascii="仿宋_GB2312" w:hAnsi="仿宋_GB2312" w:eastAsia="仿宋_GB2312" w:cs="仿宋_GB2312"/>
          <w:sz w:val="32"/>
          <w:szCs w:val="32"/>
          <w:lang w:val="en-US" w:eastAsia="zh-CN"/>
        </w:rPr>
        <w:t>83135968</w:t>
      </w:r>
    </w:p>
    <w:p>
      <w:pPr>
        <w:shd w:val="clear" w:fill="FFFFFF" w:themeFill="background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邮箱：</w:t>
      </w:r>
      <w:r>
        <w:rPr>
          <w:rFonts w:hint="eastAsia" w:ascii="仿宋_GB2312" w:hAnsi="仿宋_GB2312" w:eastAsia="仿宋_GB2312" w:cs="仿宋_GB2312"/>
          <w:sz w:val="32"/>
          <w:szCs w:val="32"/>
          <w:lang w:val="en-US" w:eastAsia="zh-CN"/>
        </w:rPr>
        <w:t>cqhns</w:t>
      </w:r>
      <w:r>
        <w:rPr>
          <w:rFonts w:hint="eastAsia" w:ascii="仿宋_GB2312" w:hAnsi="仿宋_GB2312" w:eastAsia="仿宋_GB2312" w:cs="仿宋_GB2312"/>
          <w:sz w:val="32"/>
          <w:szCs w:val="32"/>
        </w:rPr>
        <w:t>zhb@163.com   </w:t>
      </w:r>
    </w:p>
    <w:p>
      <w:pPr>
        <w:shd w:val="clear" w:fill="FFFFFF" w:themeFill="background1"/>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邮编：250</w:t>
      </w:r>
      <w:r>
        <w:rPr>
          <w:rFonts w:hint="eastAsia" w:ascii="仿宋_GB2312" w:hAnsi="仿宋_GB2312" w:eastAsia="仿宋_GB2312" w:cs="仿宋_GB2312"/>
          <w:sz w:val="32"/>
          <w:szCs w:val="32"/>
          <w:lang w:val="en-US" w:eastAsia="zh-CN"/>
        </w:rPr>
        <w:t>300</w:t>
      </w:r>
    </w:p>
    <w:p>
      <w:pPr>
        <w:shd w:val="clear" w:fill="FFFFFF" w:themeFill="background1"/>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特此通知。  </w:t>
      </w:r>
    </w:p>
    <w:p>
      <w:pPr>
        <w:pStyle w:val="4"/>
        <w:shd w:val="clear" w:fill="FFFFFF" w:themeFill="background1"/>
        <w:ind w:firstLine="640"/>
        <w:jc w:val="right"/>
        <w:rPr>
          <w:rFonts w:hint="eastAsia" w:ascii="仿宋_GB2312" w:hAnsi="仿宋_GB2312" w:eastAsia="仿宋_GB2312" w:cs="仿宋_GB2312"/>
          <w:sz w:val="32"/>
          <w:szCs w:val="32"/>
        </w:rPr>
      </w:pPr>
    </w:p>
    <w:p>
      <w:pPr>
        <w:shd w:val="clear" w:fill="FFFFFF" w:themeFill="background1"/>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济南</w:t>
      </w:r>
      <w:r>
        <w:rPr>
          <w:rFonts w:hint="eastAsia" w:ascii="仿宋_GB2312" w:hAnsi="仿宋_GB2312" w:eastAsia="仿宋_GB2312" w:cs="仿宋_GB2312"/>
          <w:sz w:val="32"/>
          <w:szCs w:val="32"/>
          <w:lang w:val="en-US" w:eastAsia="zh-CN"/>
        </w:rPr>
        <w:t>长清</w:t>
      </w:r>
      <w:r>
        <w:rPr>
          <w:rFonts w:hint="eastAsia" w:ascii="仿宋_GB2312" w:hAnsi="仿宋_GB2312" w:eastAsia="仿宋_GB2312" w:cs="仿宋_GB2312"/>
          <w:sz w:val="32"/>
          <w:szCs w:val="32"/>
        </w:rPr>
        <w:t>沪农商村镇银行</w:t>
      </w:r>
      <w:r>
        <w:rPr>
          <w:rFonts w:hint="eastAsia" w:ascii="仿宋_GB2312" w:hAnsi="仿宋_GB2312" w:eastAsia="仿宋_GB2312" w:cs="仿宋_GB2312"/>
          <w:sz w:val="32"/>
          <w:szCs w:val="32"/>
          <w:lang w:val="en-US" w:eastAsia="zh-CN"/>
        </w:rPr>
        <w:t>股份有限公司</w:t>
      </w:r>
    </w:p>
    <w:p>
      <w:pPr>
        <w:shd w:val="clear" w:fill="FFFFFF" w:themeFill="background1"/>
        <w:jc w:val="righ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rPr>
        <w:t>2026年7月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p>
    <w:p>
      <w:pPr>
        <w:shd w:val="clear" w:fill="FFFFFF" w:themeFill="background1"/>
        <w:rPr>
          <w:rFonts w:hint="eastAsia"/>
          <w:lang w:val="en-US" w:eastAsia="zh-CN"/>
        </w:rPr>
      </w:pPr>
      <w:bookmarkStart w:id="0" w:name="_GoBack"/>
      <w:bookmarkEnd w:id="0"/>
    </w:p>
    <w:sectPr>
      <w:pgSz w:w="11906" w:h="16838"/>
      <w:pgMar w:top="1134" w:right="1803" w:bottom="102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5F0E"/>
    <w:rsid w:val="02E315E2"/>
    <w:rsid w:val="03190EEA"/>
    <w:rsid w:val="03944DF9"/>
    <w:rsid w:val="05C614B0"/>
    <w:rsid w:val="07826D41"/>
    <w:rsid w:val="08606CCB"/>
    <w:rsid w:val="09970BEC"/>
    <w:rsid w:val="0D5B59F0"/>
    <w:rsid w:val="0E8954E9"/>
    <w:rsid w:val="0EBD63F5"/>
    <w:rsid w:val="0F1F034D"/>
    <w:rsid w:val="11822C48"/>
    <w:rsid w:val="1283261D"/>
    <w:rsid w:val="13111E65"/>
    <w:rsid w:val="134A4EBA"/>
    <w:rsid w:val="14F24B6E"/>
    <w:rsid w:val="1A0062D3"/>
    <w:rsid w:val="1F4E1B6A"/>
    <w:rsid w:val="1FB43C7F"/>
    <w:rsid w:val="1FB92A8D"/>
    <w:rsid w:val="21D87015"/>
    <w:rsid w:val="27734D48"/>
    <w:rsid w:val="2AAE3E3D"/>
    <w:rsid w:val="2B9A2F19"/>
    <w:rsid w:val="2D60377E"/>
    <w:rsid w:val="2D611200"/>
    <w:rsid w:val="2DFC4CDE"/>
    <w:rsid w:val="2EFD22A6"/>
    <w:rsid w:val="319375DC"/>
    <w:rsid w:val="32072174"/>
    <w:rsid w:val="32643439"/>
    <w:rsid w:val="33701470"/>
    <w:rsid w:val="378D51F2"/>
    <w:rsid w:val="38815040"/>
    <w:rsid w:val="38F2407A"/>
    <w:rsid w:val="39D3116A"/>
    <w:rsid w:val="3D5F4F3E"/>
    <w:rsid w:val="3DE93275"/>
    <w:rsid w:val="42B33B59"/>
    <w:rsid w:val="44E20593"/>
    <w:rsid w:val="44E9640E"/>
    <w:rsid w:val="45602807"/>
    <w:rsid w:val="45927D1B"/>
    <w:rsid w:val="462E6F30"/>
    <w:rsid w:val="47F92410"/>
    <w:rsid w:val="48C0398E"/>
    <w:rsid w:val="4B635186"/>
    <w:rsid w:val="4E147DBD"/>
    <w:rsid w:val="519C4558"/>
    <w:rsid w:val="57885129"/>
    <w:rsid w:val="58B63D67"/>
    <w:rsid w:val="5ADB7A9F"/>
    <w:rsid w:val="5EAB4A36"/>
    <w:rsid w:val="651E5E2C"/>
    <w:rsid w:val="66D558B0"/>
    <w:rsid w:val="6720032A"/>
    <w:rsid w:val="680B722E"/>
    <w:rsid w:val="68AC2E48"/>
    <w:rsid w:val="693862AF"/>
    <w:rsid w:val="6ABC062A"/>
    <w:rsid w:val="6B917708"/>
    <w:rsid w:val="6CC71984"/>
    <w:rsid w:val="6CFC6894"/>
    <w:rsid w:val="6D351FB7"/>
    <w:rsid w:val="6DCE3893"/>
    <w:rsid w:val="6EB97BB5"/>
    <w:rsid w:val="70116093"/>
    <w:rsid w:val="711D4E21"/>
    <w:rsid w:val="72514CE6"/>
    <w:rsid w:val="76226D0C"/>
    <w:rsid w:val="7A423425"/>
    <w:rsid w:val="7D9E735C"/>
    <w:rsid w:val="7DF36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unhideWhenUsed/>
    <w:qFormat/>
    <w:uiPriority w:val="9"/>
    <w:pPr>
      <w:spacing w:beforeAutospacing="0" w:afterAutospacing="0" w:line="560" w:lineRule="exact"/>
      <w:ind w:firstLine="1440" w:firstLineChars="200"/>
      <w:jc w:val="left"/>
      <w:outlineLvl w:val="2"/>
    </w:pPr>
    <w:rPr>
      <w:rFonts w:ascii="宋体" w:hAnsi="宋体" w:eastAsia="仿宋_GB2312" w:cs="宋体"/>
      <w:b/>
      <w:bCs/>
      <w:kern w:val="0"/>
      <w:sz w:val="32"/>
      <w:szCs w:val="27"/>
      <w:lang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alloon Text"/>
    <w:basedOn w:val="1"/>
    <w:unhideWhenUsed/>
    <w:qFormat/>
    <w:uiPriority w:val="99"/>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2025-08-26T01:26:00Z</dcterms:created>
  <dc:creator>Administrator</dc:creator>
  <cp:lastModifiedBy>srcb</cp:lastModifiedBy>
  <cp:lastPrinted>2026-07-06T07:21:00Z</cp:lastPrinted>
  <dcterms:modified xsi:type="dcterms:W3CDTF">2026-07-14T00:56:01Z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E494915174DC426EBE8CA1055205A5EC</vt:lpwstr>
  </property>
</Properties>
</file>